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53" w:rsidRPr="00DC136F" w:rsidRDefault="00E00B17" w:rsidP="00DC136F">
      <w:pPr>
        <w:jc w:val="center"/>
        <w:rPr>
          <w:rFonts w:ascii="Arial Black" w:hAnsi="Arial Black"/>
          <w:b/>
          <w:sz w:val="28"/>
          <w:szCs w:val="28"/>
        </w:rPr>
      </w:pPr>
      <w:r w:rsidRPr="00E00B17">
        <w:rPr>
          <w:rFonts w:ascii="Arial Black" w:hAnsi="Arial Black"/>
          <w:b/>
          <w:sz w:val="28"/>
          <w:szCs w:val="28"/>
        </w:rPr>
        <w:t>ТЕХНИЧЕСКИЙ РАЙДЕР группы «Красная Скрипка»</w:t>
      </w:r>
    </w:p>
    <w:p w:rsidR="00C45F8C" w:rsidRPr="00DC136F" w:rsidRDefault="00C45F8C">
      <w:pPr>
        <w:rPr>
          <w:rFonts w:ascii="Arial Black" w:hAnsi="Arial Black"/>
          <w:b/>
          <w:sz w:val="28"/>
          <w:szCs w:val="28"/>
        </w:rPr>
      </w:pPr>
    </w:p>
    <w:p w:rsidR="00C45F8C" w:rsidRDefault="00C45F8C">
      <w:r>
        <w:t xml:space="preserve">  Выполнение требований настоящего технического </w:t>
      </w:r>
      <w:proofErr w:type="spellStart"/>
      <w:r>
        <w:t>райдера</w:t>
      </w:r>
      <w:proofErr w:type="spellEnd"/>
      <w:r>
        <w:t xml:space="preserve"> является необходимым условием успешного проведения концерта группы «Красная скрипка». Полное или частичное несоблюдение технического </w:t>
      </w:r>
      <w:proofErr w:type="spellStart"/>
      <w:r>
        <w:t>райдера</w:t>
      </w:r>
      <w:proofErr w:type="spellEnd"/>
      <w:r>
        <w:t xml:space="preserve"> является достаточной причиной для отмены выступления или произвольного изменения ранее заявленной концертной программы. Для полноценного </w:t>
      </w:r>
      <w:proofErr w:type="spellStart"/>
      <w:r>
        <w:t>саундчека</w:t>
      </w:r>
      <w:proofErr w:type="spellEnd"/>
      <w:r>
        <w:t xml:space="preserve"> группе необходимо не менее 1 часа. </w:t>
      </w:r>
    </w:p>
    <w:p w:rsidR="00C45F8C" w:rsidRDefault="00C45F8C">
      <w:r>
        <w:t xml:space="preserve">  До прибытия коллектива на площадку всё необходимое оборудование должно быть установлено, подключено и </w:t>
      </w:r>
      <w:proofErr w:type="spellStart"/>
      <w:r>
        <w:t>скоммутировано</w:t>
      </w:r>
      <w:proofErr w:type="spellEnd"/>
      <w:r>
        <w:t xml:space="preserve"> согласно прилагающемуся сценическому плану, все работники технических служб должны находиться на своих рабочих местах. </w:t>
      </w:r>
    </w:p>
    <w:p w:rsidR="00703F81" w:rsidRDefault="00C45F8C">
      <w:r w:rsidRPr="00703F81">
        <w:rPr>
          <w:rFonts w:ascii="Arial Black" w:hAnsi="Arial Black"/>
          <w:b/>
          <w:sz w:val="28"/>
          <w:szCs w:val="28"/>
        </w:rPr>
        <w:t xml:space="preserve">Озвучивание зала </w:t>
      </w:r>
    </w:p>
    <w:p w:rsidR="00C45F8C" w:rsidRDefault="00C45F8C">
      <w:r>
        <w:t xml:space="preserve">Полный комплект высококачественного </w:t>
      </w:r>
      <w:proofErr w:type="spellStart"/>
      <w:r>
        <w:t>звукоусилительного</w:t>
      </w:r>
      <w:proofErr w:type="spellEnd"/>
      <w:r>
        <w:t xml:space="preserve"> оборудования для проведения концерта группы. Мощность оборудования рассчитывается в з</w:t>
      </w:r>
      <w:r w:rsidR="00703F81">
        <w:t>ависимости от размеров площадки.</w:t>
      </w:r>
    </w:p>
    <w:p w:rsidR="00E00B17" w:rsidRPr="00E00B17" w:rsidRDefault="00E00B17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Сцена:</w:t>
      </w:r>
    </w:p>
    <w:p w:rsidR="00352ED3" w:rsidRDefault="00E00B17" w:rsidP="00703F81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Барабаны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Ударная установка в исправном состоянии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Mapex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Yamaha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Ludwig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Tama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Установка к приезду Группы должна быть собрана и состоять из: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22"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bass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drum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16"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floor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toms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12", 13"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rack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toms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стойка для малого барабана,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стойка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Hi-Hat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 замком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Pr="00E00B1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стойки для тарелок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 крепежом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стул для барабанщика без спинки с регулировкой высоты.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Устойчивый подиум для ударной установки (если позволяет размер сцены).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Нескользящее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покрытие под установку (!)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Наличие монитора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слева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от установки. Мощность монитора пропорциональна размеру сцены и зала.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На сцене должны быть резервные малый барабан и педаль для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бас-барабана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(но не должны быть установлены). </w:t>
      </w:r>
    </w:p>
    <w:p w:rsidR="00E00B17" w:rsidRDefault="00352ED3" w:rsidP="00703F81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1 переноска с не менее чем 2 розетками 220 V</w:t>
      </w:r>
      <w:r>
        <w:t xml:space="preserve"> </w:t>
      </w:r>
      <w:r w:rsidR="00E00B17">
        <w:rPr>
          <w:rFonts w:ascii="Arial" w:hAnsi="Arial" w:cs="Arial"/>
          <w:color w:val="000000"/>
          <w:sz w:val="20"/>
          <w:szCs w:val="20"/>
        </w:rPr>
        <w:br/>
      </w:r>
      <w:r w:rsidR="00E00B17">
        <w:rPr>
          <w:rFonts w:ascii="Arial" w:hAnsi="Arial" w:cs="Arial"/>
          <w:color w:val="000000"/>
          <w:sz w:val="20"/>
          <w:szCs w:val="20"/>
        </w:rPr>
        <w:br/>
      </w:r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Примечание:</w:t>
      </w:r>
      <w:r w:rsid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малый барабан, тарелки, педаль для </w:t>
      </w:r>
      <w:proofErr w:type="spellStart"/>
      <w:proofErr w:type="gramStart"/>
      <w:r w:rsid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бас-барабана</w:t>
      </w:r>
      <w:proofErr w:type="spellEnd"/>
      <w:proofErr w:type="gramEnd"/>
      <w:r w:rsid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палочки группа привозит с собой. </w:t>
      </w:r>
      <w:r w:rsidR="00E00B17">
        <w:rPr>
          <w:rFonts w:ascii="Arial" w:hAnsi="Arial" w:cs="Arial"/>
          <w:color w:val="000000"/>
          <w:sz w:val="20"/>
          <w:szCs w:val="20"/>
        </w:rPr>
        <w:br/>
      </w:r>
      <w:r w:rsidR="00E00B17">
        <w:rPr>
          <w:rFonts w:ascii="Arial" w:hAnsi="Arial" w:cs="Arial"/>
          <w:color w:val="000000"/>
          <w:sz w:val="20"/>
          <w:szCs w:val="20"/>
        </w:rPr>
        <w:br/>
      </w:r>
      <w:r w:rsidR="00E00B17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Не допускается:</w:t>
      </w:r>
      <w:r w:rsid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00B17">
        <w:rPr>
          <w:rFonts w:ascii="Arial" w:hAnsi="Arial" w:cs="Arial"/>
          <w:color w:val="000000"/>
          <w:sz w:val="20"/>
          <w:szCs w:val="20"/>
        </w:rPr>
        <w:br/>
      </w:r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– Комплектование установки пластиками различных серий (за исключением </w:t>
      </w:r>
      <w:proofErr w:type="spellStart"/>
      <w:proofErr w:type="gramStart"/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бас-барабана</w:t>
      </w:r>
      <w:proofErr w:type="spellEnd"/>
      <w:proofErr w:type="gramEnd"/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), все пластики должны находиться в рабочем (целом) состоянии. </w:t>
      </w:r>
      <w:r w:rsidR="00E00B17">
        <w:rPr>
          <w:rFonts w:ascii="Arial" w:hAnsi="Arial" w:cs="Arial"/>
          <w:color w:val="000000"/>
          <w:sz w:val="20"/>
          <w:szCs w:val="20"/>
        </w:rPr>
        <w:br/>
      </w:r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– Барабанная установка без нижних пластиков (резонаторов). </w:t>
      </w:r>
      <w:r w:rsidR="00E00B17">
        <w:rPr>
          <w:rFonts w:ascii="Arial" w:hAnsi="Arial" w:cs="Arial"/>
          <w:color w:val="000000"/>
          <w:sz w:val="20"/>
          <w:szCs w:val="20"/>
        </w:rPr>
        <w:br/>
      </w:r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– Механика с заклинившими узлами. </w:t>
      </w:r>
      <w:r w:rsidR="00E00B17">
        <w:rPr>
          <w:rFonts w:ascii="Arial" w:hAnsi="Arial" w:cs="Arial"/>
          <w:color w:val="000000"/>
          <w:sz w:val="20"/>
          <w:szCs w:val="20"/>
        </w:rPr>
        <w:br/>
      </w:r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– Демпфирование пластиков кустарным методом (скотч и т.д.). </w:t>
      </w:r>
      <w:r w:rsidR="00E00B17">
        <w:rPr>
          <w:rFonts w:ascii="Arial" w:hAnsi="Arial" w:cs="Arial"/>
          <w:color w:val="000000"/>
          <w:sz w:val="20"/>
          <w:szCs w:val="20"/>
        </w:rPr>
        <w:br/>
      </w:r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– Перемещение </w:t>
      </w:r>
      <w:proofErr w:type="spellStart"/>
      <w:proofErr w:type="gramStart"/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бас-барабана</w:t>
      </w:r>
      <w:proofErr w:type="spellEnd"/>
      <w:proofErr w:type="gramEnd"/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по настилу сцены во время игры. </w:t>
      </w:r>
      <w:r w:rsidR="00E00B17">
        <w:rPr>
          <w:rFonts w:ascii="Arial" w:hAnsi="Arial" w:cs="Arial"/>
          <w:color w:val="000000"/>
          <w:sz w:val="20"/>
          <w:szCs w:val="20"/>
        </w:rPr>
        <w:br/>
      </w:r>
      <w:r w:rsidR="00E00B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– Применение установки без одного тома (тройка).</w:t>
      </w:r>
      <w:r w:rsid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00B17" w:rsidRDefault="00E00B1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C136F" w:rsidRDefault="00E00B17">
      <w:pP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E00B17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Бас-гитара</w:t>
      </w:r>
    </w:p>
    <w:p w:rsidR="00E00B17" w:rsidRDefault="00E00B17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="009072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Басовый </w:t>
      </w:r>
      <w:proofErr w:type="spellStart"/>
      <w:r w:rsidR="00907233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комбо</w:t>
      </w:r>
      <w:proofErr w:type="spellEnd"/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SWR750, </w:t>
      </w:r>
      <w:proofErr w:type="spellStart"/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Gallien</w:t>
      </w:r>
      <w:proofErr w:type="spellEnd"/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Krueger</w:t>
      </w:r>
      <w:proofErr w:type="spellEnd"/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Ampeq</w:t>
      </w:r>
      <w:proofErr w:type="spellEnd"/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Hartke</w:t>
      </w:r>
      <w:proofErr w:type="spellEnd"/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, 4х10’’ мощность от 400 Вт</w:t>
      </w:r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proofErr w:type="spellStart"/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Direct-box</w:t>
      </w:r>
      <w:proofErr w:type="spellEnd"/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>– 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запасной инструментальный кабель. Длина кабеля должна соответствовать размеру сцены. 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– Стойка для </w:t>
      </w:r>
      <w:proofErr w:type="spellStart"/>
      <w:proofErr w:type="gramStart"/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бас-гитары</w:t>
      </w:r>
      <w:proofErr w:type="spellEnd"/>
      <w:proofErr w:type="gramEnd"/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(устойчивая). 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="00352ED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1 переноска с не менее чем 2 розетками 220 V для подключения</w:t>
      </w:r>
      <w:r w:rsidR="00352ED3">
        <w:t xml:space="preserve"> </w:t>
      </w:r>
    </w:p>
    <w:p w:rsidR="00907233" w:rsidRDefault="00907233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703F81" w:rsidRDefault="0090723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07233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Гитара</w:t>
      </w:r>
      <w:r w:rsidRPr="0090723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07233" w:rsidRPr="00703F81" w:rsidRDefault="00907233" w:rsidP="00703F8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3F81">
        <w:rPr>
          <w:rFonts w:ascii="Arial" w:hAnsi="Arial" w:cs="Arial"/>
          <w:color w:val="000000"/>
          <w:sz w:val="20"/>
          <w:szCs w:val="20"/>
        </w:rPr>
        <w:br/>
      </w:r>
      <w:r w:rsid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Гитарный 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комбо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Fender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Marshall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352ED3" w:rsidRPr="00703F81" w:rsidRDefault="00907233" w:rsidP="00703F8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- стереопара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Стойка для гитары (устойчивая). </w:t>
      </w:r>
    </w:p>
    <w:p w:rsidR="00907233" w:rsidRPr="00703F81" w:rsidRDefault="00352ED3" w:rsidP="00703F8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Direct-box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2 запасных инструментальных кабеля. Длина кабеля должна соответствовать размеру сцены. </w:t>
      </w:r>
      <w:r w:rsidR="00907233"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1 переноска с не менее чем 2 розетками 220 V для подключения</w:t>
      </w:r>
    </w:p>
    <w:p w:rsidR="00907233" w:rsidRDefault="0090723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52ED3" w:rsidRPr="001050C2" w:rsidRDefault="00907233" w:rsidP="001050C2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907233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СКРИПКА</w:t>
      </w:r>
    </w:p>
    <w:p w:rsidR="00352ED3" w:rsidRPr="00703F81" w:rsidRDefault="00352ED3" w:rsidP="00703F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- стереопара</w:t>
      </w:r>
    </w:p>
    <w:p w:rsidR="00352ED3" w:rsidRPr="00703F81" w:rsidRDefault="00352ED3" w:rsidP="00703F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0B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1 переноска с не менее чем 2 розетками 220 V для подключения</w:t>
      </w:r>
    </w:p>
    <w:p w:rsidR="00352ED3" w:rsidRPr="00703F81" w:rsidRDefault="00352ED3" w:rsidP="00703F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52ED3" w:rsidRPr="00703F81" w:rsidRDefault="00352ED3" w:rsidP="00703F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Также необходима дополнительная стереопара</w:t>
      </w:r>
    </w:p>
    <w:p w:rsidR="00352ED3" w:rsidRDefault="00352ED3" w:rsidP="00352ED3">
      <w:pPr>
        <w:widowControl w:val="0"/>
        <w:autoSpaceDE w:val="0"/>
        <w:autoSpaceDN w:val="0"/>
        <w:adjustRightInd w:val="0"/>
      </w:pPr>
    </w:p>
    <w:p w:rsidR="00352ED3" w:rsidRPr="00703F81" w:rsidRDefault="00703F81" w:rsidP="00703F81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МОНИТОРНАЯ СИСТЕМА</w:t>
      </w:r>
    </w:p>
    <w:p w:rsidR="00352ED3" w:rsidRPr="00703F81" w:rsidRDefault="00352ED3" w:rsidP="00703F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4 мониторных линий, включая два «прострела» (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side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fills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). Мощность каждого из мониторов должна быть не менее 350 Вт.</w:t>
      </w:r>
    </w:p>
    <w:p w:rsidR="00352ED3" w:rsidRPr="00703F81" w:rsidRDefault="00352ED3" w:rsidP="00703F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Суммарная мощность прострелов составляет не менее 4 кВт, а для сцен шириной более 10 метров или залов свыше 2000 мест – не менее 6 кВт.</w:t>
      </w:r>
    </w:p>
    <w:p w:rsidR="00352ED3" w:rsidRPr="00703F81" w:rsidRDefault="00352ED3" w:rsidP="00703F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Aux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 линия на 4 монитора; для сцен шириной более 10 метров или залов свыше 2000 мест – не менее 6 мониторов.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Aux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прострелы левый канал.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Aux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прострелы правый канал.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 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Aux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один монитор для барабанщика.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5 </w:t>
      </w:r>
      <w:proofErr w:type="spellStart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>Aux</w:t>
      </w:r>
      <w:proofErr w:type="spellEnd"/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два монитора для гитаристов.</w:t>
      </w:r>
      <w:r w:rsidRPr="00703F8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C45F8C" w:rsidRPr="00DC136F" w:rsidRDefault="00DC136F" w:rsidP="00DC136F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DC136F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FON:</w:t>
      </w:r>
    </w:p>
    <w:p w:rsidR="00C45F8C" w:rsidRPr="00DC136F" w:rsidRDefault="00DC136F" w:rsidP="00DC136F">
      <w:pPr>
        <w:pStyle w:val="a3"/>
        <w:spacing w:before="0" w:beforeAutospacing="0" w:after="0" w:afterAutospacing="0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DC136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- </w:t>
      </w:r>
      <w:r w:rsidR="001050C2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Цифровой пульт</w:t>
      </w:r>
      <w:r w:rsidR="00C45F8C" w:rsidRPr="00DC136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="001050C2" w:rsidRPr="001050C2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val="en-US" w:eastAsia="en-US"/>
        </w:rPr>
        <w:t xml:space="preserve">уровня от </w:t>
      </w:r>
      <w:proofErr w:type="spellStart"/>
      <w:r w:rsidR="001050C2" w:rsidRPr="001050C2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val="en-US" w:eastAsia="en-US"/>
        </w:rPr>
        <w:t>behringer</w:t>
      </w:r>
      <w:proofErr w:type="spellEnd"/>
      <w:r w:rsidR="001050C2" w:rsidRPr="001050C2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val="en-US" w:eastAsia="en-US"/>
        </w:rPr>
        <w:t xml:space="preserve"> 32 и выше</w:t>
      </w:r>
    </w:p>
    <w:p w:rsidR="00DC136F" w:rsidRPr="001050C2" w:rsidRDefault="00DC136F" w:rsidP="00DC136F">
      <w:pPr>
        <w:pStyle w:val="a3"/>
        <w:spacing w:before="0" w:beforeAutospacing="0" w:after="0" w:afterAutospacing="0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val="en-US" w:eastAsia="en-US"/>
        </w:rPr>
      </w:pPr>
      <w:r w:rsidRPr="00DC136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– Динамическая обработка класса (не хуже DBX 1066). </w:t>
      </w:r>
      <w:r w:rsidRPr="00DC136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br/>
      </w:r>
      <w:r w:rsidRPr="001050C2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val="en-US" w:eastAsia="en-US"/>
        </w:rPr>
        <w:t>– 6 x gate, 5 x compressor. </w:t>
      </w:r>
      <w:r w:rsidRPr="001050C2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val="en-US" w:eastAsia="en-US"/>
        </w:rPr>
        <w:br/>
        <w:t xml:space="preserve">– </w:t>
      </w:r>
      <w:r w:rsidRPr="00DC136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Высококачественный</w:t>
      </w:r>
      <w:r w:rsidRPr="001050C2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val="en-US" w:eastAsia="en-US"/>
        </w:rPr>
        <w:t xml:space="preserve"> stereo 31 band graphic FOH EQ. </w:t>
      </w:r>
    </w:p>
    <w:p w:rsidR="00DC136F" w:rsidRPr="001050C2" w:rsidRDefault="00DC136F" w:rsidP="00DC136F">
      <w:pPr>
        <w:pStyle w:val="a3"/>
        <w:spacing w:before="0" w:beforeAutospacing="0" w:after="0" w:afterAutospacing="0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val="en-US" w:eastAsia="en-US"/>
        </w:rPr>
      </w:pPr>
    </w:p>
    <w:p w:rsidR="00DC136F" w:rsidRPr="001050C2" w:rsidRDefault="00DC136F" w:rsidP="00DC136F">
      <w:pPr>
        <w:pStyle w:val="a3"/>
        <w:spacing w:before="0" w:beforeAutospacing="0" w:after="0" w:afterAutospacing="0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val="en-US" w:eastAsia="en-US"/>
        </w:rPr>
      </w:pPr>
    </w:p>
    <w:p w:rsidR="00DC136F" w:rsidRPr="001050C2" w:rsidRDefault="00DC136F" w:rsidP="00DC136F">
      <w:pPr>
        <w:pStyle w:val="3"/>
      </w:pPr>
    </w:p>
    <w:p w:rsidR="00DC136F" w:rsidRPr="001050C2" w:rsidRDefault="00DC136F" w:rsidP="00DC136F">
      <w:pPr>
        <w:pStyle w:val="3"/>
      </w:pPr>
    </w:p>
    <w:p w:rsidR="00DC136F" w:rsidRPr="001050C2" w:rsidRDefault="00DC136F" w:rsidP="00DC136F">
      <w:pPr>
        <w:pStyle w:val="3"/>
      </w:pPr>
    </w:p>
    <w:p w:rsidR="00DC136F" w:rsidRPr="001050C2" w:rsidRDefault="00DC136F" w:rsidP="00DC136F">
      <w:pPr>
        <w:pStyle w:val="3"/>
      </w:pPr>
    </w:p>
    <w:p w:rsidR="00DC136F" w:rsidRPr="00A57321" w:rsidRDefault="00DC136F" w:rsidP="00DC136F">
      <w:pPr>
        <w:pStyle w:val="3"/>
        <w:rPr>
          <w:lang w:val="ru-RU"/>
        </w:rPr>
      </w:pPr>
      <w:r>
        <w:t>INPUT</w:t>
      </w:r>
      <w:r w:rsidRPr="00A57321">
        <w:rPr>
          <w:lang w:val="ru-RU"/>
        </w:rPr>
        <w:t>-</w:t>
      </w:r>
      <w:r>
        <w:t>LIST</w:t>
      </w:r>
    </w:p>
    <w:tbl>
      <w:tblPr>
        <w:tblpPr w:leftFromText="180" w:rightFromText="180" w:vertAnchor="text" w:horzAnchor="margin" w:tblpY="135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3402"/>
        <w:gridCol w:w="2362"/>
        <w:gridCol w:w="1880"/>
      </w:tblGrid>
      <w:tr w:rsidR="00DC136F" w:rsidTr="0080567B">
        <w:trPr>
          <w:trHeight w:val="452"/>
        </w:trPr>
        <w:tc>
          <w:tcPr>
            <w:tcW w:w="1875" w:type="dxa"/>
            <w:vAlign w:val="center"/>
          </w:tcPr>
          <w:p w:rsidR="00DC136F" w:rsidRDefault="00DC136F" w:rsidP="0080567B">
            <w:pPr>
              <w:pStyle w:val="2"/>
            </w:pPr>
            <w:r>
              <w:t>Номер канала</w:t>
            </w:r>
          </w:p>
        </w:tc>
        <w:tc>
          <w:tcPr>
            <w:tcW w:w="3402" w:type="dxa"/>
            <w:vAlign w:val="center"/>
          </w:tcPr>
          <w:p w:rsidR="00DC136F" w:rsidRDefault="00DC136F" w:rsidP="0080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Инструмент</w:t>
            </w:r>
          </w:p>
        </w:tc>
        <w:tc>
          <w:tcPr>
            <w:tcW w:w="2362" w:type="dxa"/>
            <w:vAlign w:val="center"/>
          </w:tcPr>
          <w:p w:rsidR="00DC136F" w:rsidRPr="00C30C2E" w:rsidRDefault="00DC136F" w:rsidP="0080567B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Mic</w:t>
            </w:r>
            <w:proofErr w:type="spellEnd"/>
            <w:r>
              <w:rPr>
                <w:b/>
                <w:bCs/>
                <w:lang w:val="en-US"/>
              </w:rPr>
              <w:t>\DI</w:t>
            </w:r>
          </w:p>
        </w:tc>
        <w:tc>
          <w:tcPr>
            <w:tcW w:w="1880" w:type="dxa"/>
            <w:vAlign w:val="center"/>
          </w:tcPr>
          <w:p w:rsidR="00DC136F" w:rsidRDefault="00DC136F" w:rsidP="0080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Insert</w:t>
            </w:r>
          </w:p>
        </w:tc>
      </w:tr>
      <w:tr w:rsidR="00DC136F" w:rsidTr="0080567B">
        <w:trPr>
          <w:trHeight w:val="71"/>
        </w:trPr>
        <w:tc>
          <w:tcPr>
            <w:tcW w:w="1875" w:type="dxa"/>
            <w:vAlign w:val="center"/>
          </w:tcPr>
          <w:p w:rsidR="00DC136F" w:rsidRDefault="00DC136F" w:rsidP="0080567B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DC136F" w:rsidRDefault="00DC136F" w:rsidP="0080567B">
            <w:pPr>
              <w:jc w:val="center"/>
            </w:pPr>
            <w:r>
              <w:t>Бас-барабан</w:t>
            </w:r>
          </w:p>
        </w:tc>
        <w:tc>
          <w:tcPr>
            <w:tcW w:w="2362" w:type="dxa"/>
            <w:vAlign w:val="center"/>
          </w:tcPr>
          <w:p w:rsidR="00DC136F" w:rsidRPr="00846681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beta52\e602</w:t>
            </w:r>
          </w:p>
        </w:tc>
        <w:tc>
          <w:tcPr>
            <w:tcW w:w="1880" w:type="dxa"/>
            <w:vAlign w:val="center"/>
          </w:tcPr>
          <w:p w:rsidR="00DC136F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Comp/gate</w:t>
            </w:r>
          </w:p>
        </w:tc>
      </w:tr>
      <w:tr w:rsidR="00DC136F" w:rsidTr="0080567B">
        <w:trPr>
          <w:trHeight w:val="100"/>
        </w:trPr>
        <w:tc>
          <w:tcPr>
            <w:tcW w:w="1875" w:type="dxa"/>
            <w:vAlign w:val="center"/>
          </w:tcPr>
          <w:p w:rsidR="00DC136F" w:rsidRDefault="00DC136F" w:rsidP="0080567B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DC136F" w:rsidRDefault="00DC136F" w:rsidP="0080567B">
            <w:pPr>
              <w:jc w:val="center"/>
            </w:pPr>
            <w:r>
              <w:t>Малый барабан</w:t>
            </w:r>
          </w:p>
        </w:tc>
        <w:tc>
          <w:tcPr>
            <w:tcW w:w="2362" w:type="dxa"/>
            <w:vAlign w:val="center"/>
          </w:tcPr>
          <w:p w:rsidR="00DC136F" w:rsidRPr="00BE0165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sm57\beta56</w:t>
            </w:r>
          </w:p>
        </w:tc>
        <w:tc>
          <w:tcPr>
            <w:tcW w:w="1880" w:type="dxa"/>
            <w:vAlign w:val="center"/>
          </w:tcPr>
          <w:p w:rsidR="00DC136F" w:rsidRPr="00BE0165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</w:t>
            </w:r>
            <w:r>
              <w:t>/</w:t>
            </w:r>
            <w:r>
              <w:rPr>
                <w:lang w:val="en-US"/>
              </w:rPr>
              <w:t>gate</w:t>
            </w:r>
          </w:p>
        </w:tc>
      </w:tr>
      <w:tr w:rsidR="00DC136F" w:rsidTr="0080567B">
        <w:trPr>
          <w:trHeight w:val="105"/>
        </w:trPr>
        <w:tc>
          <w:tcPr>
            <w:tcW w:w="1875" w:type="dxa"/>
            <w:vAlign w:val="center"/>
          </w:tcPr>
          <w:p w:rsidR="00DC136F" w:rsidRPr="00C30C2E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DC136F" w:rsidRDefault="00DC136F" w:rsidP="0080567B">
            <w:pPr>
              <w:jc w:val="center"/>
            </w:pPr>
            <w:r>
              <w:t>Том подвесной 10”</w:t>
            </w:r>
          </w:p>
        </w:tc>
        <w:tc>
          <w:tcPr>
            <w:tcW w:w="2362" w:type="dxa"/>
            <w:vAlign w:val="center"/>
          </w:tcPr>
          <w:p w:rsidR="00DC136F" w:rsidRDefault="00DC136F" w:rsidP="0080567B">
            <w:pPr>
              <w:jc w:val="center"/>
              <w:rPr>
                <w:lang w:val="en-US"/>
              </w:rPr>
            </w:pPr>
            <w:bookmarkStart w:id="0" w:name="OLE_LINK3"/>
            <w:bookmarkStart w:id="1" w:name="OLE_LINK4"/>
            <w:r>
              <w:rPr>
                <w:lang w:val="en-US"/>
              </w:rPr>
              <w:t xml:space="preserve"> sm57\e604</w:t>
            </w:r>
            <w:bookmarkEnd w:id="0"/>
            <w:bookmarkEnd w:id="1"/>
          </w:p>
        </w:tc>
        <w:tc>
          <w:tcPr>
            <w:tcW w:w="1880" w:type="dxa"/>
            <w:vAlign w:val="center"/>
          </w:tcPr>
          <w:p w:rsidR="00DC136F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Gate</w:t>
            </w:r>
          </w:p>
        </w:tc>
      </w:tr>
      <w:tr w:rsidR="00DC136F" w:rsidTr="0080567B">
        <w:trPr>
          <w:trHeight w:val="94"/>
        </w:trPr>
        <w:tc>
          <w:tcPr>
            <w:tcW w:w="1875" w:type="dxa"/>
            <w:vAlign w:val="center"/>
          </w:tcPr>
          <w:p w:rsidR="00DC136F" w:rsidRPr="00C30C2E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DC136F" w:rsidRDefault="00DC136F" w:rsidP="0080567B">
            <w:pPr>
              <w:jc w:val="center"/>
            </w:pPr>
            <w:r>
              <w:t>Том подвесной 12”</w:t>
            </w:r>
          </w:p>
        </w:tc>
        <w:tc>
          <w:tcPr>
            <w:tcW w:w="2362" w:type="dxa"/>
            <w:vAlign w:val="center"/>
          </w:tcPr>
          <w:p w:rsidR="00DC136F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sm57\e604</w:t>
            </w:r>
          </w:p>
        </w:tc>
        <w:tc>
          <w:tcPr>
            <w:tcW w:w="1880" w:type="dxa"/>
            <w:vAlign w:val="center"/>
          </w:tcPr>
          <w:p w:rsidR="00DC136F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Gate</w:t>
            </w:r>
          </w:p>
        </w:tc>
      </w:tr>
      <w:tr w:rsidR="00DC136F" w:rsidTr="0080567B">
        <w:trPr>
          <w:trHeight w:val="71"/>
        </w:trPr>
        <w:tc>
          <w:tcPr>
            <w:tcW w:w="1875" w:type="dxa"/>
            <w:vAlign w:val="center"/>
          </w:tcPr>
          <w:p w:rsidR="00DC136F" w:rsidRPr="00C30C2E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DC136F" w:rsidRDefault="00DC136F" w:rsidP="0080567B">
            <w:pPr>
              <w:jc w:val="center"/>
            </w:pPr>
            <w:r>
              <w:t>Напольный том 14”\16”</w:t>
            </w:r>
          </w:p>
        </w:tc>
        <w:tc>
          <w:tcPr>
            <w:tcW w:w="2362" w:type="dxa"/>
            <w:vAlign w:val="center"/>
          </w:tcPr>
          <w:p w:rsidR="00DC136F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sm57\e604</w:t>
            </w:r>
          </w:p>
        </w:tc>
        <w:tc>
          <w:tcPr>
            <w:tcW w:w="1880" w:type="dxa"/>
            <w:vAlign w:val="center"/>
          </w:tcPr>
          <w:p w:rsidR="00DC136F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Gate</w:t>
            </w:r>
          </w:p>
        </w:tc>
      </w:tr>
      <w:tr w:rsidR="00DC136F" w:rsidTr="0080567B">
        <w:trPr>
          <w:trHeight w:val="71"/>
        </w:trPr>
        <w:tc>
          <w:tcPr>
            <w:tcW w:w="1875" w:type="dxa"/>
            <w:vAlign w:val="center"/>
          </w:tcPr>
          <w:p w:rsidR="00DC136F" w:rsidRPr="00C30C2E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DC136F" w:rsidRDefault="00DC136F" w:rsidP="0080567B">
            <w:pPr>
              <w:jc w:val="center"/>
            </w:pPr>
            <w:proofErr w:type="spellStart"/>
            <w:r>
              <w:t>Оверхэд</w:t>
            </w:r>
            <w:proofErr w:type="spellEnd"/>
            <w:r>
              <w:t xml:space="preserve"> левый</w:t>
            </w:r>
          </w:p>
        </w:tc>
        <w:tc>
          <w:tcPr>
            <w:tcW w:w="2362" w:type="dxa"/>
            <w:vAlign w:val="center"/>
          </w:tcPr>
          <w:p w:rsidR="00DC136F" w:rsidRPr="00846681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sm81\e914\c1000</w:t>
            </w:r>
          </w:p>
        </w:tc>
        <w:tc>
          <w:tcPr>
            <w:tcW w:w="1880" w:type="dxa"/>
            <w:vAlign w:val="center"/>
          </w:tcPr>
          <w:p w:rsidR="00DC136F" w:rsidRDefault="00DC136F" w:rsidP="0080567B">
            <w:pPr>
              <w:jc w:val="center"/>
            </w:pPr>
          </w:p>
        </w:tc>
      </w:tr>
      <w:tr w:rsidR="00DC136F" w:rsidTr="0080567B">
        <w:trPr>
          <w:trHeight w:val="77"/>
        </w:trPr>
        <w:tc>
          <w:tcPr>
            <w:tcW w:w="1875" w:type="dxa"/>
            <w:vAlign w:val="center"/>
          </w:tcPr>
          <w:p w:rsidR="00DC136F" w:rsidRPr="00C30C2E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:rsidR="00DC136F" w:rsidRDefault="00DC136F" w:rsidP="0080567B">
            <w:pPr>
              <w:jc w:val="center"/>
            </w:pPr>
            <w:proofErr w:type="spellStart"/>
            <w:r>
              <w:t>Оверхэд</w:t>
            </w:r>
            <w:proofErr w:type="spellEnd"/>
            <w:r>
              <w:t xml:space="preserve"> правый</w:t>
            </w:r>
          </w:p>
        </w:tc>
        <w:tc>
          <w:tcPr>
            <w:tcW w:w="2362" w:type="dxa"/>
            <w:vAlign w:val="center"/>
          </w:tcPr>
          <w:p w:rsidR="00DC136F" w:rsidRDefault="00DC136F" w:rsidP="0080567B">
            <w:pPr>
              <w:jc w:val="center"/>
            </w:pPr>
            <w:r>
              <w:rPr>
                <w:lang w:val="en-US"/>
              </w:rPr>
              <w:t>sm81\e914\c1000</w:t>
            </w:r>
          </w:p>
        </w:tc>
        <w:tc>
          <w:tcPr>
            <w:tcW w:w="1880" w:type="dxa"/>
            <w:vAlign w:val="center"/>
          </w:tcPr>
          <w:p w:rsidR="00DC136F" w:rsidRDefault="00DC136F" w:rsidP="0080567B">
            <w:pPr>
              <w:jc w:val="center"/>
            </w:pPr>
          </w:p>
        </w:tc>
      </w:tr>
      <w:tr w:rsidR="00DC136F" w:rsidTr="0080567B">
        <w:trPr>
          <w:trHeight w:val="71"/>
        </w:trPr>
        <w:tc>
          <w:tcPr>
            <w:tcW w:w="1875" w:type="dxa"/>
            <w:vAlign w:val="center"/>
          </w:tcPr>
          <w:p w:rsidR="00DC136F" w:rsidRPr="00C30C2E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DC136F" w:rsidRPr="000D79DD" w:rsidRDefault="00DC136F" w:rsidP="0080567B">
            <w:pPr>
              <w:jc w:val="center"/>
              <w:rPr>
                <w:lang w:val="en-US"/>
              </w:rPr>
            </w:pPr>
            <w:r>
              <w:t xml:space="preserve">Бас-гитара </w:t>
            </w:r>
          </w:p>
        </w:tc>
        <w:tc>
          <w:tcPr>
            <w:tcW w:w="2362" w:type="dxa"/>
            <w:vAlign w:val="center"/>
          </w:tcPr>
          <w:p w:rsidR="00DC136F" w:rsidRDefault="00DC136F" w:rsidP="008056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DirectOut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DirectBox</w:t>
            </w:r>
            <w:proofErr w:type="spellEnd"/>
          </w:p>
        </w:tc>
        <w:tc>
          <w:tcPr>
            <w:tcW w:w="1880" w:type="dxa"/>
            <w:vAlign w:val="center"/>
          </w:tcPr>
          <w:p w:rsidR="00DC136F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</w:t>
            </w:r>
          </w:p>
        </w:tc>
      </w:tr>
      <w:tr w:rsidR="00DC136F" w:rsidTr="0080567B">
        <w:trPr>
          <w:trHeight w:val="86"/>
        </w:trPr>
        <w:tc>
          <w:tcPr>
            <w:tcW w:w="1875" w:type="dxa"/>
            <w:vAlign w:val="center"/>
          </w:tcPr>
          <w:p w:rsidR="00DC136F" w:rsidRPr="00C30C2E" w:rsidRDefault="00DC136F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DC136F" w:rsidRDefault="00DC136F" w:rsidP="0080567B">
            <w:pPr>
              <w:jc w:val="center"/>
            </w:pPr>
            <w:r>
              <w:t xml:space="preserve">Гитара </w:t>
            </w:r>
          </w:p>
        </w:tc>
        <w:tc>
          <w:tcPr>
            <w:tcW w:w="2362" w:type="dxa"/>
            <w:vAlign w:val="center"/>
          </w:tcPr>
          <w:p w:rsidR="00DC136F" w:rsidRPr="00BE0165" w:rsidRDefault="00DC136F" w:rsidP="008056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DirectBox</w:t>
            </w:r>
            <w:proofErr w:type="spellEnd"/>
          </w:p>
        </w:tc>
        <w:tc>
          <w:tcPr>
            <w:tcW w:w="1880" w:type="dxa"/>
            <w:vAlign w:val="center"/>
          </w:tcPr>
          <w:p w:rsidR="00DC136F" w:rsidRDefault="0024444E" w:rsidP="0080567B">
            <w:pPr>
              <w:jc w:val="center"/>
            </w:pPr>
            <w:r>
              <w:rPr>
                <w:lang w:val="en-US"/>
              </w:rPr>
              <w:t>Comp/gate</w:t>
            </w:r>
          </w:p>
        </w:tc>
      </w:tr>
      <w:tr w:rsidR="00DC136F" w:rsidTr="0080567B">
        <w:trPr>
          <w:trHeight w:val="75"/>
        </w:trPr>
        <w:tc>
          <w:tcPr>
            <w:tcW w:w="1875" w:type="dxa"/>
            <w:vAlign w:val="center"/>
          </w:tcPr>
          <w:p w:rsidR="00DC136F" w:rsidRPr="00C30C2E" w:rsidRDefault="00DC136F" w:rsidP="0080567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3402" w:type="dxa"/>
            <w:vAlign w:val="center"/>
          </w:tcPr>
          <w:p w:rsidR="00DC136F" w:rsidRPr="00846681" w:rsidRDefault="00DC136F" w:rsidP="0080567B">
            <w:pPr>
              <w:jc w:val="center"/>
            </w:pPr>
            <w:r>
              <w:t>Скрипка</w:t>
            </w:r>
          </w:p>
        </w:tc>
        <w:tc>
          <w:tcPr>
            <w:tcW w:w="2362" w:type="dxa"/>
            <w:vAlign w:val="center"/>
          </w:tcPr>
          <w:p w:rsidR="00DC136F" w:rsidRDefault="00DC136F" w:rsidP="0080567B">
            <w:pPr>
              <w:jc w:val="center"/>
            </w:pPr>
            <w:proofErr w:type="spellStart"/>
            <w:r>
              <w:rPr>
                <w:lang w:val="en-US"/>
              </w:rPr>
              <w:t>DirectBox</w:t>
            </w:r>
            <w:proofErr w:type="spellEnd"/>
          </w:p>
        </w:tc>
        <w:tc>
          <w:tcPr>
            <w:tcW w:w="1880" w:type="dxa"/>
            <w:vAlign w:val="center"/>
          </w:tcPr>
          <w:p w:rsidR="00DC136F" w:rsidRDefault="0024444E" w:rsidP="0080567B">
            <w:pPr>
              <w:jc w:val="center"/>
            </w:pPr>
            <w:r>
              <w:rPr>
                <w:lang w:val="en-US"/>
              </w:rPr>
              <w:t>Comp/gate</w:t>
            </w:r>
          </w:p>
        </w:tc>
      </w:tr>
      <w:tr w:rsidR="0024444E" w:rsidTr="0080567B">
        <w:trPr>
          <w:trHeight w:val="75"/>
        </w:trPr>
        <w:tc>
          <w:tcPr>
            <w:tcW w:w="1875" w:type="dxa"/>
            <w:vAlign w:val="center"/>
          </w:tcPr>
          <w:p w:rsidR="0024444E" w:rsidRDefault="0024444E" w:rsidP="0080567B">
            <w:pPr>
              <w:jc w:val="center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24444E" w:rsidRDefault="0024444E" w:rsidP="0080567B">
            <w:pPr>
              <w:jc w:val="center"/>
            </w:pPr>
            <w:r>
              <w:t>подложка</w:t>
            </w:r>
          </w:p>
        </w:tc>
        <w:tc>
          <w:tcPr>
            <w:tcW w:w="2362" w:type="dxa"/>
            <w:vAlign w:val="center"/>
          </w:tcPr>
          <w:p w:rsidR="0024444E" w:rsidRDefault="0024444E" w:rsidP="0080567B">
            <w:pPr>
              <w:jc w:val="center"/>
              <w:rPr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24444E" w:rsidRDefault="0024444E" w:rsidP="00805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Comp/gate</w:t>
            </w:r>
          </w:p>
        </w:tc>
      </w:tr>
    </w:tbl>
    <w:p w:rsidR="00DC136F" w:rsidRDefault="00DC136F" w:rsidP="00DC136F">
      <w:pPr>
        <w:rPr>
          <w:lang w:val="en-US"/>
        </w:rPr>
      </w:pPr>
    </w:p>
    <w:p w:rsidR="00DC136F" w:rsidRDefault="00DC136F" w:rsidP="00DC136F">
      <w:pPr>
        <w:rPr>
          <w:lang w:val="en-US"/>
        </w:rPr>
      </w:pPr>
    </w:p>
    <w:p w:rsidR="00DC136F" w:rsidRDefault="00DC136F" w:rsidP="00DC136F">
      <w:pPr>
        <w:rPr>
          <w:lang w:val="en-US"/>
        </w:rPr>
      </w:pPr>
    </w:p>
    <w:p w:rsidR="00DC136F" w:rsidRDefault="00DC136F" w:rsidP="00DC136F">
      <w:pPr>
        <w:rPr>
          <w:lang w:val="en-US"/>
        </w:rPr>
      </w:pPr>
    </w:p>
    <w:p w:rsidR="00DC136F" w:rsidRDefault="00DC136F" w:rsidP="00DC136F">
      <w:pPr>
        <w:rPr>
          <w:lang w:val="en-US"/>
        </w:rPr>
      </w:pPr>
    </w:p>
    <w:p w:rsidR="00DC136F" w:rsidRDefault="00DC136F" w:rsidP="00DC136F">
      <w:pPr>
        <w:rPr>
          <w:lang w:val="en-US"/>
        </w:rPr>
      </w:pPr>
    </w:p>
    <w:p w:rsidR="00DC136F" w:rsidRDefault="00DC136F" w:rsidP="00352ED3">
      <w:pPr>
        <w:pStyle w:val="a3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DC136F" w:rsidRDefault="00DC136F" w:rsidP="00352ED3">
      <w:pPr>
        <w:pStyle w:val="a3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DC136F" w:rsidRPr="00703F81" w:rsidRDefault="00DC136F" w:rsidP="00352ED3">
      <w:pPr>
        <w:pStyle w:val="a3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– При невозможности обеспечить технический </w:t>
      </w:r>
      <w:proofErr w:type="spell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райдер</w:t>
      </w:r>
      <w:proofErr w:type="spell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в полном соответствии с данными требованиями, организатор обязан заранее согласовать любые предполагаемые изменения с контактным лицом Группы. </w:t>
      </w:r>
    </w:p>
    <w:p w:rsidR="00C45F8C" w:rsidRPr="00703F81" w:rsidRDefault="00C45F8C" w:rsidP="00352ED3">
      <w:pPr>
        <w:pStyle w:val="a3"/>
        <w:rPr>
          <w:rFonts w:ascii="Verdana" w:hAnsi="Verdana"/>
          <w:color w:val="000000"/>
          <w:sz w:val="14"/>
          <w:szCs w:val="14"/>
        </w:rPr>
      </w:pPr>
    </w:p>
    <w:p w:rsidR="00352ED3" w:rsidRDefault="00352ED3" w:rsidP="00352ED3">
      <w:pPr>
        <w:widowControl w:val="0"/>
        <w:autoSpaceDE w:val="0"/>
        <w:autoSpaceDN w:val="0"/>
        <w:adjustRightInd w:val="0"/>
      </w:pPr>
    </w:p>
    <w:p w:rsidR="00352ED3" w:rsidRDefault="00352ED3" w:rsidP="00352ED3">
      <w:pPr>
        <w:widowControl w:val="0"/>
        <w:autoSpaceDE w:val="0"/>
        <w:autoSpaceDN w:val="0"/>
        <w:adjustRightInd w:val="0"/>
      </w:pPr>
    </w:p>
    <w:p w:rsidR="00352ED3" w:rsidRDefault="00352ED3" w:rsidP="00352E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52ED3" w:rsidRDefault="00352ED3" w:rsidP="00352E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52ED3" w:rsidRDefault="00352ED3" w:rsidP="00352ED3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fr-FR"/>
        </w:rPr>
      </w:pPr>
    </w:p>
    <w:p w:rsidR="00907233" w:rsidRPr="00352ED3" w:rsidRDefault="00907233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</w:pPr>
    </w:p>
    <w:p w:rsidR="00907233" w:rsidRPr="00907233" w:rsidRDefault="00907233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907233" w:rsidRDefault="0090723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7233" w:rsidRPr="00907233" w:rsidRDefault="00907233">
      <w:pPr>
        <w:rPr>
          <w:sz w:val="20"/>
          <w:szCs w:val="20"/>
        </w:rPr>
      </w:pPr>
    </w:p>
    <w:sectPr w:rsidR="00907233" w:rsidRPr="00907233" w:rsidSect="00DC1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B17"/>
    <w:rsid w:val="001050C2"/>
    <w:rsid w:val="00140A38"/>
    <w:rsid w:val="0024444E"/>
    <w:rsid w:val="00352ED3"/>
    <w:rsid w:val="00443E36"/>
    <w:rsid w:val="0057361D"/>
    <w:rsid w:val="00686174"/>
    <w:rsid w:val="00703F81"/>
    <w:rsid w:val="00907233"/>
    <w:rsid w:val="00C45F8C"/>
    <w:rsid w:val="00DC136F"/>
    <w:rsid w:val="00E0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36"/>
  </w:style>
  <w:style w:type="paragraph" w:styleId="2">
    <w:name w:val="heading 2"/>
    <w:basedOn w:val="a"/>
    <w:next w:val="a"/>
    <w:link w:val="20"/>
    <w:qFormat/>
    <w:rsid w:val="00DC13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136F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2ED3"/>
    <w:rPr>
      <w:i/>
      <w:iCs/>
    </w:rPr>
  </w:style>
  <w:style w:type="character" w:customStyle="1" w:styleId="20">
    <w:name w:val="Заголовок 2 Знак"/>
    <w:basedOn w:val="a0"/>
    <w:link w:val="2"/>
    <w:rsid w:val="00DC1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136F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11D0-4D87-4F43-A589-9362B80A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2017-08-03T17:10:00Z</dcterms:created>
  <dcterms:modified xsi:type="dcterms:W3CDTF">2017-08-04T11:07:00Z</dcterms:modified>
</cp:coreProperties>
</file>