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Общее: звукорежиссер с опытом работы; акустическая система, соответствующая по мощности размерам помещения или площади.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Для виолончели; микрофонный предусилитель с фантомным питанием; эквалайзер и реверб (как отдельные юниты или в составе микшерного пульта); хорошего вида стул или табуретка стандартной высоты для сцены.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Для фортепиано: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акустический рояль (не пианино), настроенный специалистом после траспортировки; необходимый микрофон, предусилители и коммутация на усмотрение звукорежиссера для подзвучки инсрумента;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или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электронный рояль со взвешенной клавиатурой, педалями и стереовыходом; соответствуюшая коммутация для подключения к акустической системе.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а также: банкетка (не стул, не табуретка) под цвет инструмента.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