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Технический райдер проекта Rainwood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Состав: вокал, акустическая гитара, электронная ударная установка.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·      Мониторы (1 линия)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·      Стереосистема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·      Пульт микшерный (минимум 4 канала, наличие                                 обработки не важно)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·      2 барных стула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·      2 розетки 220в на сцене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